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Éducation musicale — CM2 — Période 1</w:t>
      </w:r>
    </w:p>
    <w:p>
      <w:pPr>
        <w:spacing w:after="60"/>
        <w:jc w:val="center"/>
      </w:pPr>
      <w:r>
        <w:rPr>
          <w:rFonts w:ascii="Calibri" w:cs="Calibri" w:eastAsia="Calibri" w:hAnsi="Calibri"/>
          <w:b/>
          <w:bCs/>
          <w:i w:val="false"/>
          <w:iCs w:val="false"/>
          <w:color w:val="1F3864"/>
          <w:sz w:val="34"/>
          <w:szCs w:val="34"/>
        </w:rPr>
        <w:t xml:space="preserve">Chanter et comprendre La Marseillaise ; comparer des interprétations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d'éducation musicale cycle 3 : chanter et interpréter ; écouter, comparer et commenter ; explorer et imaginer ; échanger, partager et argumenter. Liens : EMC (symboles de la République), histoire (1792).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Chanter juste, en articulant, le refrain et le premier couplet de La Marseillaise.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Situer l'hymne dans son contexte historique et comprendre le sens (et la violence) de ses paroles.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deux interprétations d'une même œuvre avec un vocabulaire musical précis (tempo, nuance, timbre, arrangement).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Exprimer et argumenter un avis esthétique en respectant celui des autres.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Chanter et interpréter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Écouter, comparer et commenter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Échanger, partager, argumenter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CM1 : chant à l'unisson et en canon ; paramètres du son (hauteur, intensité, durée, timbre)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Enregistrements : version orchestrale officielle, version chorale, une réinterprétation (jazz, rock ou électro)</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Paroles imprimées (annexe 1) ; tableau d'écoute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Instruments de percussion de la classe ; projection 1</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individuelle légère : justesse et connaissance des paroles (refrain obligatoire, couplet 1 selon le niveau).</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de l'écoute : qualité du tableau comparatif et de l'avis argumenté.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refrain seul, ou refrain + couplet ; nombre de critères d'écoute renseignés.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paroles avec syllabes segmentées et respirations surlignées en ★ ; rôle de meneur de chant ou d'accompagnateur percussif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peut choisir un rôle : chanteur, percussionniste, meneur, ou « oreille » (celui qui écoute et régule l'ensemble).</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Découvrir l'hymne et son histoire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Écouter, situer historiquement, commencer l'apprentissage du refrain.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les paroles et apprendre le couplet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Expliciter le vocabulaire, questionner la violence des paroles, mémoriser le couplet 1.</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Écoute comparée : une œuvre, plusieurs versions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Comparer deux interprétations et argumenter un avis.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Interpréter ensemble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Produire une interprétation collective travaillée, avec des choix expressifs assumés.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4 — Découvrir l'hymne et son histoire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Écouter, situer historiquement, commencer l'apprentissage du refrain.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Version orchestrale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Paroles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Écoute sensible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Écoute sans consigne, puis recueil : quel caractère ? quelles émotions ? quels instruments reconnus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Faire nommer le caractère de marche (pulsation régulière, rythme pointé).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Contexte historique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composée à Strasbourg en 1792 par Rouget de Lisle, chantée par les volontaires marseillais, hymne national en 1795, définitivement en 1879.</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Lien direct avec l'histoire : c'est l'année de la proclamation de la République.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Apprentissage du refrain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Apprentissage par phrases : écoute du modèle, répétition, assemblage.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 technique : posture, souffle, articulation des consonnes finales, justesse sur l'intervalle d'attaque.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D'abord parlé-rythmé, puis chanté.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Paroles segmentées en syllabes, respirations surlignées ; apprentissage par petites cellules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meneur de chant (donner la note de départ, lancer le groupe)</w:t>
            </w:r>
          </w:p>
        </w:tc>
      </w:tr>
    </w:tbl>
    <w:p>
      <w:pPr>
        <w:spacing w:after="80"/>
        <w:jc w:val="left"/>
      </w:pPr>
      <w:r>
        <w:rPr>
          <w:rFonts w:ascii="Calibri" w:cs="Calibri" w:eastAsia="Calibri" w:hAnsi="Calibri"/>
          <w:b w:val="false"/>
          <w:bCs w:val="false"/>
          <w:i/>
          <w:iCs/>
          <w:sz w:val="19"/>
          <w:szCs w:val="19"/>
        </w:rPr>
        <w:t xml:space="preserve">Trace écrite / bilan : Paroles du refrain collées ; contexte noté en 3 phrases.</w:t>
      </w:r>
    </w:p>
    <w:p>
      <w:r>
        <w:br w:type="page"/>
      </w:r>
    </w:p>
    <w:p>
      <w:pPr>
        <w:shd w:fill="1F3864" w:val="clear"/>
        <w:spacing w:after="60"/>
      </w:pPr>
      <w:r>
        <w:rPr>
          <w:rFonts w:ascii="Calibri" w:cs="Calibri" w:eastAsia="Calibri" w:hAnsi="Calibri"/>
          <w:b/>
          <w:bCs/>
          <w:i w:val="false"/>
          <w:iCs w:val="false"/>
          <w:color w:val="FFFFFF"/>
          <w:sz w:val="26"/>
          <w:szCs w:val="26"/>
        </w:rPr>
        <w:t xml:space="preserve">SÉANCE 2 / 4 — Comprendre les paroles et apprendre le couplet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Expliciter le vocabulaire, questionner la violence des paroles, mémoriser le couplet 1.</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Paroles annotées (annexe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 sens des mots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Expliciter : patrie, tyrannie, étendard, bataillon, sillon, féroces soldats.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Contextualiser sans esquiver : ces paroles sont violentes parce que ce chant est né dans la guerre.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ouverte (poursuivie en EMC) : pourquoi la France garde-t-elle un chant si guerrier comme hymne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Apprentissage du couplet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Même démarche que pour le refrain ; travail sur les liaisons et sur la longueur des phrases musicales.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Alternance : les filles chantent une phrase, les garçons la suivante, puis tous ensemble (varier pour maintenir l'attention).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Enregistrement du groupe pour comparer d'une semaine à l'autre.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Couplet non exigé ; participation au refrain et à la percussion corporelle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Couplet mémorisé sans support ; recherche sur un autre couplet et son sens</w:t>
            </w:r>
          </w:p>
        </w:tc>
      </w:tr>
    </w:tbl>
    <w:p>
      <w:pPr>
        <w:spacing w:after="80"/>
        <w:jc w:val="left"/>
      </w:pPr>
      <w:r>
        <w:rPr>
          <w:rFonts w:ascii="Calibri" w:cs="Calibri" w:eastAsia="Calibri" w:hAnsi="Calibri"/>
          <w:b w:val="false"/>
          <w:bCs w:val="false"/>
          <w:i/>
          <w:iCs/>
          <w:sz w:val="19"/>
          <w:szCs w:val="19"/>
        </w:rPr>
        <w:t xml:space="preserve">Trace écrite / bilan : Paroles avec le vocabulaire expliqué en marge.</w:t>
      </w:r>
    </w:p>
    <w:p>
      <w:r>
        <w:br w:type="page"/>
      </w:r>
    </w:p>
    <w:p>
      <w:pPr>
        <w:shd w:fill="1F3864" w:val="clear"/>
        <w:spacing w:after="60"/>
      </w:pPr>
      <w:r>
        <w:rPr>
          <w:rFonts w:ascii="Calibri" w:cs="Calibri" w:eastAsia="Calibri" w:hAnsi="Calibri"/>
          <w:b/>
          <w:bCs/>
          <w:i w:val="false"/>
          <w:iCs w:val="false"/>
          <w:color w:val="FFFFFF"/>
          <w:sz w:val="26"/>
          <w:szCs w:val="26"/>
        </w:rPr>
        <w:t xml:space="preserve">SÉANCE 3 / 4 — Écoute comparée : une œuvre, plusieurs versions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Comparer deux interprétations et argumenter un avis.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versions contrastées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d'écoute (annexe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Écoute 1</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Écoute puis remplissage du tableau : instruments, tempo, nuance, caractère. Consigne : écouter d'abord, écrire ensuite.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Écoute 2</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Même protocole pour la version réinterprétée.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Comparaison et débat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Qu'est-ce qui change ? Qu'est-ce qui reste reconnaissable (la mélodie)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Débat court : a-t-on le droit de transformer un hymne ? Deux positions argumentées (respect du symbole / liberté de création).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Exigence : employer au moins un mot de vocabulaire musical dans son argument.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collé + deux phrases d'avis personnel argumenté.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à cocher (lent/rapide, fort/doux, instruments illustrés)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Repérer la structure (introduction, couplet, refrain) ; imaginer et décrire une troisième version</w:t>
            </w:r>
          </w:p>
        </w:tc>
      </w:tr>
    </w:tbl>
    <w:p>
      <w:pPr>
        <w:spacing w:after="80"/>
        <w:jc w:val="left"/>
      </w:pPr>
      <w:r>
        <w:rPr>
          <w:rFonts w:ascii="Calibri" w:cs="Calibri" w:eastAsia="Calibri" w:hAnsi="Calibri"/>
          <w:b w:val="false"/>
          <w:bCs w:val="false"/>
          <w:i/>
          <w:iCs/>
          <w:sz w:val="19"/>
          <w:szCs w:val="19"/>
        </w:rPr>
        <w:t xml:space="preserve">Trace écrite / bilan : Tableau d'écoute comparée + avis argumenté.</w:t>
      </w:r>
    </w:p>
    <w:p>
      <w:r>
        <w:br w:type="page"/>
      </w:r>
    </w:p>
    <w:p>
      <w:pPr>
        <w:shd w:fill="1F3864" w:val="clear"/>
        <w:spacing w:after="60"/>
      </w:pPr>
      <w:r>
        <w:rPr>
          <w:rFonts w:ascii="Calibri" w:cs="Calibri" w:eastAsia="Calibri" w:hAnsi="Calibri"/>
          <w:b/>
          <w:bCs/>
          <w:i w:val="false"/>
          <w:iCs w:val="false"/>
          <w:color w:val="FFFFFF"/>
          <w:sz w:val="26"/>
          <w:szCs w:val="26"/>
        </w:rPr>
        <w:t xml:space="preserve">SÉANCE 4 / 4 — Interpréter ensemble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Produire une interprétation collective travaillée, avec des choix expressifs assumés.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avec rôles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Percussions de la classe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Enregistreur</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Choix d'interprétation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Décider ensemble : à quel tempo ? avec quelles nuances ? un passage a cappella ? une percussion sur le refrain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choix sont notés : ce sont des décisions artistiques, argumentées.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Répétition</w:t>
            </w:r>
          </w:p>
          <w:p>
            <w:pPr>
              <w:spacing w:after="0"/>
              <w:jc w:val="left"/>
            </w:pPr>
            <w:r>
              <w:rPr>
                <w:rFonts w:ascii="Calibri" w:cs="Calibri" w:eastAsia="Calibri" w:hAnsi="Calibri"/>
                <w:b w:val="false"/>
                <w:bCs w:val="false"/>
                <w:i/>
                <w:iCs/>
                <w:sz w:val="17"/>
                <w:szCs w:val="17"/>
              </w:rPr>
              <w:t xml:space="preserve">groupes puis 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Répétition par pupitres (chanteurs, percussionnistes), puis assemblage.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 oreilles » écoutent depuis le fond de la salle et donnent un retour (justesse, équilibre, ensemble).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Enregistrement et écoute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Enregistrement de la version finale ; écoute critique avec les critères de la classe.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avec l'enregistrement de la première séance : mesurer le progrès.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percussionniste sur une pulsation simple ; chant sur le refrain uniquement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Meneur de chant ; ostinato rythmique plus complexe ; proposition d'un arrangement</w:t>
            </w:r>
          </w:p>
        </w:tc>
      </w:tr>
    </w:tbl>
    <w:p>
      <w:pPr>
        <w:spacing w:after="80"/>
        <w:jc w:val="left"/>
      </w:pPr>
      <w:r>
        <w:rPr>
          <w:rFonts w:ascii="Calibri" w:cs="Calibri" w:eastAsia="Calibri" w:hAnsi="Calibri"/>
          <w:b w:val="false"/>
          <w:bCs w:val="false"/>
          <w:i/>
          <w:iCs/>
          <w:sz w:val="19"/>
          <w:szCs w:val="19"/>
        </w:rPr>
        <w:t xml:space="preserve">Trace écrite / bilan : Enregistrement conservé ; liste des choix d'interprétation.</w:t>
      </w:r>
    </w:p>
    <w:p>
      <w:r>
        <w:br w:type="page"/>
      </w:r>
    </w:p>
    <w:p>
      <w:pPr>
        <w:shd w:fill="375623" w:val="clear"/>
        <w:spacing w:after="60"/>
      </w:pPr>
      <w:r>
        <w:rPr>
          <w:rFonts w:ascii="Calibri" w:cs="Calibri" w:eastAsia="Calibri" w:hAnsi="Calibri"/>
          <w:b/>
          <w:bCs/>
          <w:i w:val="false"/>
          <w:iCs w:val="false"/>
          <w:color w:val="FFFFFF"/>
          <w:sz w:val="24"/>
          <w:szCs w:val="24"/>
        </w:rPr>
        <w:t xml:space="preserve">ANNEXE 1 — Paroles, vocabulaire et tableau d'écoute  [DOCUMENT ÉLÈVE — à imprimer]</w:t>
      </w:r>
    </w:p>
    <w:p>
      <w:pPr>
        <w:pStyle w:val="Heading2"/>
        <w:spacing w:after="80" w:before="100"/>
      </w:pPr>
      <w:r>
        <w:rPr>
          <w:rFonts w:ascii="Calibri" w:cs="Calibri" w:eastAsia="Calibri" w:hAnsi="Calibri"/>
          <w:b/>
          <w:bCs/>
          <w:i w:val="false"/>
          <w:iCs w:val="false"/>
          <w:color w:val="1F3864"/>
          <w:sz w:val="24"/>
          <w:szCs w:val="24"/>
        </w:rPr>
        <w:t xml:space="preserve">Refrain</w:t>
      </w:r>
    </w:p>
    <w:p>
      <w:pPr>
        <w:spacing w:after="80"/>
        <w:jc w:val="left"/>
      </w:pPr>
      <w:r>
        <w:rPr>
          <w:rFonts w:ascii="Calibri" w:cs="Calibri" w:eastAsia="Calibri" w:hAnsi="Calibri"/>
          <w:b w:val="false"/>
          <w:bCs w:val="false"/>
          <w:i w:val="false"/>
          <w:iCs w:val="false"/>
          <w:sz w:val="21"/>
          <w:szCs w:val="21"/>
        </w:rPr>
        <w:t xml:space="preserve">Aux armes, citoyens ! Formez vos bataillons !</w:t>
      </w:r>
    </w:p>
    <w:p>
      <w:pPr>
        <w:spacing w:after="80"/>
        <w:jc w:val="left"/>
      </w:pPr>
      <w:r>
        <w:rPr>
          <w:rFonts w:ascii="Calibri" w:cs="Calibri" w:eastAsia="Calibri" w:hAnsi="Calibri"/>
          <w:b w:val="false"/>
          <w:bCs w:val="false"/>
          <w:i w:val="false"/>
          <w:iCs w:val="false"/>
          <w:sz w:val="21"/>
          <w:szCs w:val="21"/>
        </w:rPr>
        <w:t xml:space="preserve">Marchons, marchons ! Qu'un sang impur abreuve nos sillons !</w:t>
      </w:r>
    </w:p>
    <w:p>
      <w:pPr>
        <w:pStyle w:val="Heading2"/>
        <w:spacing w:after="80" w:before="100"/>
      </w:pPr>
      <w:r>
        <w:rPr>
          <w:rFonts w:ascii="Calibri" w:cs="Calibri" w:eastAsia="Calibri" w:hAnsi="Calibri"/>
          <w:b/>
          <w:bCs/>
          <w:i w:val="false"/>
          <w:iCs w:val="false"/>
          <w:color w:val="1F3864"/>
          <w:sz w:val="24"/>
          <w:szCs w:val="24"/>
        </w:rPr>
        <w:t xml:space="preserve">Premier couplet</w:t>
      </w:r>
    </w:p>
    <w:p>
      <w:pPr>
        <w:spacing w:after="80"/>
        <w:jc w:val="left"/>
      </w:pPr>
      <w:r>
        <w:rPr>
          <w:rFonts w:ascii="Calibri" w:cs="Calibri" w:eastAsia="Calibri" w:hAnsi="Calibri"/>
          <w:b w:val="false"/>
          <w:bCs w:val="false"/>
          <w:i w:val="false"/>
          <w:iCs w:val="false"/>
          <w:sz w:val="21"/>
          <w:szCs w:val="21"/>
        </w:rPr>
        <w:t xml:space="preserve">Allons enfants de la Patrie, le jour de gloire est arrivé !</w:t>
      </w:r>
    </w:p>
    <w:p>
      <w:pPr>
        <w:spacing w:after="80"/>
        <w:jc w:val="left"/>
      </w:pPr>
      <w:r>
        <w:rPr>
          <w:rFonts w:ascii="Calibri" w:cs="Calibri" w:eastAsia="Calibri" w:hAnsi="Calibri"/>
          <w:b w:val="false"/>
          <w:bCs w:val="false"/>
          <w:i w:val="false"/>
          <w:iCs w:val="false"/>
          <w:sz w:val="21"/>
          <w:szCs w:val="21"/>
        </w:rPr>
        <w:t xml:space="preserve">Contre nous de la tyrannie, l'étendard sanglant est levé (bis)</w:t>
      </w:r>
    </w:p>
    <w:p>
      <w:pPr>
        <w:spacing w:after="80"/>
        <w:jc w:val="left"/>
      </w:pPr>
      <w:r>
        <w:rPr>
          <w:rFonts w:ascii="Calibri" w:cs="Calibri" w:eastAsia="Calibri" w:hAnsi="Calibri"/>
          <w:b w:val="false"/>
          <w:bCs w:val="false"/>
          <w:i w:val="false"/>
          <w:iCs w:val="false"/>
          <w:sz w:val="21"/>
          <w:szCs w:val="21"/>
        </w:rPr>
        <w:t xml:space="preserve">Entendez-vous dans les campagnes mugir ces féroces soldats ?</w:t>
      </w:r>
    </w:p>
    <w:p>
      <w:pPr>
        <w:spacing w:after="80"/>
        <w:jc w:val="left"/>
      </w:pPr>
      <w:r>
        <w:rPr>
          <w:rFonts w:ascii="Calibri" w:cs="Calibri" w:eastAsia="Calibri" w:hAnsi="Calibri"/>
          <w:b w:val="false"/>
          <w:bCs w:val="false"/>
          <w:i w:val="false"/>
          <w:iCs w:val="false"/>
          <w:sz w:val="21"/>
          <w:szCs w:val="21"/>
        </w:rPr>
        <w:t xml:space="preserve">Ils viennent jusque dans vos bras égorger vos fils, vos compagnes !</w:t>
      </w:r>
    </w:p>
    <w:p>
      <w:pPr>
        <w:pStyle w:val="Heading2"/>
        <w:spacing w:after="80" w:before="100"/>
      </w:pPr>
      <w:r>
        <w:rPr>
          <w:rFonts w:ascii="Calibri" w:cs="Calibri" w:eastAsia="Calibri" w:hAnsi="Calibri"/>
          <w:b/>
          <w:bCs/>
          <w:i w:val="false"/>
          <w:iCs w:val="false"/>
          <w:color w:val="1F3864"/>
          <w:sz w:val="24"/>
          <w:szCs w:val="24"/>
        </w:rPr>
        <w:t xml:space="preserve">Le vocabulaire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qu'il veut dire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Patrie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pays auquel on appartient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Tyrannie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pouvoir d'un chef qui écrase le peuple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Étendard</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drapeau</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Bataillon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groupe de soldats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Sillon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trace laissée dans un champ labouré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Mugir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pousser un cri sourd et menaçant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 comprendre</w:t>
      </w:r>
    </w:p>
    <w:p>
      <w:pPr>
        <w:spacing w:after="80"/>
        <w:jc w:val="left"/>
      </w:pPr>
      <w:r>
        <w:rPr>
          <w:rFonts w:ascii="Calibri" w:cs="Calibri" w:eastAsia="Calibri" w:hAnsi="Calibri"/>
          <w:b w:val="false"/>
          <w:bCs w:val="false"/>
          <w:i w:val="false"/>
          <w:iCs w:val="false"/>
          <w:sz w:val="21"/>
          <w:szCs w:val="21"/>
        </w:rPr>
        <w:t xml:space="preserve">Ces paroles sont violentes parce que ce chant est né pendant une guerre, en 1792, quand la jeune République était attaquée. Aujourd'hui, on le chante comme le symbole du pays et de la République, et non comme un appel à la violence.</w:t>
      </w:r>
    </w:p>
    <w:p>
      <w:pPr>
        <w:pStyle w:val="Heading2"/>
        <w:spacing w:after="80" w:before="100"/>
      </w:pPr>
      <w:r>
        <w:rPr>
          <w:rFonts w:ascii="Calibri" w:cs="Calibri" w:eastAsia="Calibri" w:hAnsi="Calibri"/>
          <w:b/>
          <w:bCs/>
          <w:i w:val="false"/>
          <w:iCs w:val="false"/>
          <w:color w:val="1F3864"/>
          <w:sz w:val="24"/>
          <w:szCs w:val="24"/>
        </w:rPr>
        <w:t xml:space="preserve">Tableau d'écoute comparée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Version 1</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Version 2</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instruments que j'entends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tempo (lent / modéré / rapide)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nuance (doux / fort / contrasté)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caractère (solennel, joyeux, grave, dansant…)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qui reste reconnaissable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qui a été transformé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avis argumenté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préfère la version … parce que … (emploie au moins un mot de vocabulaire musical)</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Nos choix d'interprétation (S4)</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Tempo choisi : ………  Nuances : ………  Passage a cappella : ………  Percussion : ………</w:t>
      </w:r>
    </w:p>
    <w:p>
      <w:r>
        <w:br w:type="page"/>
      </w:r>
    </w:p>
    <w:p>
      <w:pPr>
        <w:shd w:fill="833C00" w:val="clear"/>
        <w:spacing w:after="60"/>
      </w:pPr>
      <w:r>
        <w:rPr>
          <w:rFonts w:ascii="Calibri" w:cs="Calibri" w:eastAsia="Calibri" w:hAnsi="Calibri"/>
          <w:b/>
          <w:bCs/>
          <w:i w:val="false"/>
          <w:iCs w:val="false"/>
          <w:color w:val="FFFFFF"/>
          <w:sz w:val="24"/>
          <w:szCs w:val="24"/>
        </w:rPr>
        <w:t xml:space="preserve">ANNEXE 2 — Projection 1 — D'où vient notre hymne ?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Une chanson née dans la guerre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1792 : la France est en guerre. À Strasbourg, Rouget de Lisle compose en une nuit un « Chant de guerre pour l'armée du Rhin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Des volontaires venus de MARSEILLE le chantent en montant vers Paris : on l'appellera « La Marseillaise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1795 : elle devient hymne national. Interdite sous l'Empire, elle le redevient définitivement en 1879.</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que nous allons faire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Chanter le refrain et le couplet 1, justes et bien articulés.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Comprendre les mots difficiles.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Comparer deux versions très différentes.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Nous demander : a-t-on le droit de transformer un hymne ?</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2026-08-13T13:32:22.666Z</dcterms:created>
  <dcterms:modified xsi:type="dcterms:W3CDTF">2026-08-13T13:32:22.666Z</dcterms:modified>
</cp:coreProperties>
</file>

<file path=docProps/custom.xml><?xml version="1.0" encoding="utf-8"?>
<Properties xmlns="http://schemas.openxmlformats.org/officeDocument/2006/custom-properties" xmlns:vt="http://schemas.openxmlformats.org/officeDocument/2006/docPropsVTypes"/>
</file>